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    </w:t>
      </w:r>
      <w:r w:rsidR="00554CAD" w:rsidRPr="00554CAD">
        <w:rPr>
          <w:rFonts w:eastAsia="標楷體" w:hint="eastAsia"/>
          <w:color w:val="000000"/>
          <w:u w:val="single"/>
        </w:rPr>
        <w:t>智</w:t>
      </w:r>
      <w:r w:rsidR="00554CAD" w:rsidRPr="00554CAD">
        <w:rPr>
          <w:rFonts w:eastAsia="標楷體" w:hint="eastAsia"/>
          <w:color w:val="000000"/>
          <w:u w:val="single"/>
        </w:rPr>
        <w:t>-P-10</w:t>
      </w:r>
      <w:r w:rsidR="006E2347">
        <w:rPr>
          <w:rFonts w:eastAsia="標楷體" w:hint="eastAsia"/>
          <w:color w:val="000000"/>
          <w:u w:val="single"/>
        </w:rPr>
        <w:t>8</w:t>
      </w:r>
      <w:r w:rsidR="00554CAD" w:rsidRPr="00554CAD">
        <w:rPr>
          <w:rFonts w:eastAsia="標楷體" w:hint="eastAsia"/>
          <w:color w:val="000000"/>
          <w:u w:val="single"/>
        </w:rPr>
        <w:t>-</w:t>
      </w:r>
      <w:r w:rsidR="00990BDB">
        <w:rPr>
          <w:rFonts w:eastAsia="標楷體" w:hint="eastAsia"/>
          <w:color w:val="000000"/>
          <w:u w:val="single"/>
        </w:rPr>
        <w:t>17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proofErr w:type="gramStart"/>
      <w:r w:rsidR="00990BDB" w:rsidRPr="00990BDB">
        <w:rPr>
          <w:rFonts w:eastAsia="標楷體" w:hint="eastAsia"/>
          <w:color w:val="000000"/>
          <w:u w:val="single"/>
        </w:rPr>
        <w:t>人源化</w:t>
      </w:r>
      <w:proofErr w:type="gramEnd"/>
      <w:r w:rsidR="00990BDB" w:rsidRPr="00990BDB">
        <w:rPr>
          <w:rFonts w:eastAsia="標楷體" w:hint="eastAsia"/>
          <w:color w:val="000000"/>
          <w:u w:val="single"/>
        </w:rPr>
        <w:t>抗</w:t>
      </w:r>
      <w:proofErr w:type="spellStart"/>
      <w:r w:rsidR="00990BDB" w:rsidRPr="00990BDB">
        <w:rPr>
          <w:rFonts w:eastAsia="標楷體" w:hint="eastAsia"/>
          <w:color w:val="000000"/>
          <w:u w:val="single"/>
        </w:rPr>
        <w:t>Globo</w:t>
      </w:r>
      <w:proofErr w:type="spellEnd"/>
      <w:r w:rsidR="00990BDB" w:rsidRPr="00990BDB">
        <w:rPr>
          <w:rFonts w:eastAsia="標楷體" w:hint="eastAsia"/>
          <w:color w:val="000000"/>
          <w:u w:val="single"/>
        </w:rPr>
        <w:t xml:space="preserve"> H</w:t>
      </w:r>
      <w:r w:rsidR="00990BDB" w:rsidRPr="00990BDB">
        <w:rPr>
          <w:rFonts w:eastAsia="標楷體" w:hint="eastAsia"/>
          <w:color w:val="000000"/>
          <w:u w:val="single"/>
        </w:rPr>
        <w:t>抗體及癌症之治療</w:t>
      </w:r>
      <w:r w:rsidR="0089703A" w:rsidRPr="0089703A"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               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5A5F95" w:rsidRDefault="00990BDB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~30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pages</w:t>
            </w:r>
            <w:r w:rsidR="0089703A">
              <w:rPr>
                <w:rFonts w:eastAsia="標楷體"/>
                <w:color w:val="000000"/>
                <w:szCs w:val="24"/>
              </w:rPr>
              <w:t xml:space="preserve"> (~</w:t>
            </w:r>
            <w:r w:rsidR="006E2347">
              <w:rPr>
                <w:rFonts w:eastAsia="標楷體" w:hint="eastAsia"/>
                <w:color w:val="000000"/>
                <w:szCs w:val="24"/>
              </w:rPr>
              <w:t>6</w:t>
            </w:r>
            <w:r w:rsidR="0089703A">
              <w:rPr>
                <w:rFonts w:eastAsia="標楷體"/>
                <w:color w:val="000000"/>
                <w:szCs w:val="24"/>
              </w:rPr>
              <w:t>,000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words</w:t>
            </w:r>
            <w:r w:rsidR="0089703A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4B7D8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990BDB">
              <w:rPr>
                <w:rFonts w:eastAsia="標楷體" w:hint="eastAsia"/>
                <w:color w:val="000000"/>
                <w:szCs w:val="24"/>
              </w:rPr>
              <w:t>17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014237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014237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990BDB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014237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已有序列表</w:t>
            </w:r>
            <w:bookmarkStart w:id="0" w:name="_GoBack"/>
            <w:bookmarkEnd w:id="0"/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6E2347" w:rsidRDefault="006E2347" w:rsidP="006E2347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6E234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6E2347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6E2347"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990BDB" w:rsidP="00990BD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89703A" w:rsidRPr="005A5F95" w:rsidTr="00122B93">
        <w:tc>
          <w:tcPr>
            <w:tcW w:w="2127" w:type="dxa"/>
          </w:tcPr>
          <w:p w:rsidR="0089703A" w:rsidRPr="005A5F95" w:rsidRDefault="0089703A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89703A" w:rsidRDefault="00990BD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PCT</w:t>
            </w:r>
            <w:r>
              <w:rPr>
                <w:rFonts w:eastAsia="標楷體" w:hint="eastAsia"/>
                <w:color w:val="000000"/>
                <w:szCs w:val="24"/>
              </w:rPr>
              <w:t>進入國家階段</w:t>
            </w:r>
          </w:p>
          <w:p w:rsidR="00990BDB" w:rsidRPr="00D734C7" w:rsidRDefault="00990BDB" w:rsidP="00990BD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990BDB">
              <w:rPr>
                <w:rFonts w:eastAsia="標楷體"/>
                <w:color w:val="000000"/>
                <w:szCs w:val="24"/>
              </w:rPr>
              <w:t>CA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CN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JP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EP</w:t>
            </w:r>
          </w:p>
        </w:tc>
        <w:tc>
          <w:tcPr>
            <w:tcW w:w="2693" w:type="dxa"/>
          </w:tcPr>
          <w:p w:rsidR="0089703A" w:rsidRPr="00274B22" w:rsidRDefault="00274B22" w:rsidP="0089703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D</w:t>
            </w:r>
            <w:r>
              <w:rPr>
                <w:rFonts w:eastAsia="標楷體" w:hint="eastAsia"/>
                <w:color w:val="000000"/>
                <w:szCs w:val="24"/>
              </w:rPr>
              <w:t>ue date: 2019/11/24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35A74" w:rsidRPr="005A5F95" w:rsidTr="00FB44A9">
        <w:tc>
          <w:tcPr>
            <w:tcW w:w="8222" w:type="dxa"/>
            <w:gridSpan w:val="2"/>
          </w:tcPr>
          <w:p w:rsidR="00E35A74" w:rsidRDefault="00E35A74" w:rsidP="00E35A7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E35A74" w:rsidRPr="005A5F95" w:rsidRDefault="00E35A74" w:rsidP="00E35A7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5F" w:rsidRDefault="00CC145F" w:rsidP="00554CAD">
      <w:r>
        <w:separator/>
      </w:r>
    </w:p>
  </w:endnote>
  <w:endnote w:type="continuationSeparator" w:id="0">
    <w:p w:rsidR="00CC145F" w:rsidRDefault="00CC145F" w:rsidP="005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5F" w:rsidRDefault="00CC145F" w:rsidP="00554CAD">
      <w:r>
        <w:separator/>
      </w:r>
    </w:p>
  </w:footnote>
  <w:footnote w:type="continuationSeparator" w:id="0">
    <w:p w:rsidR="00CC145F" w:rsidRDefault="00CC145F" w:rsidP="005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A5B"/>
    <w:multiLevelType w:val="hybridMultilevel"/>
    <w:tmpl w:val="5BCAC6D2"/>
    <w:lvl w:ilvl="0" w:tplc="E8B27A2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014237"/>
    <w:rsid w:val="00264E33"/>
    <w:rsid w:val="00274B22"/>
    <w:rsid w:val="004B7D83"/>
    <w:rsid w:val="00554CAD"/>
    <w:rsid w:val="006C7119"/>
    <w:rsid w:val="006E2347"/>
    <w:rsid w:val="0089703A"/>
    <w:rsid w:val="00990BDB"/>
    <w:rsid w:val="00C453EE"/>
    <w:rsid w:val="00CC145F"/>
    <w:rsid w:val="00D734C7"/>
    <w:rsid w:val="00E35A7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吳欣怡</cp:lastModifiedBy>
  <cp:revision>4</cp:revision>
  <dcterms:created xsi:type="dcterms:W3CDTF">2019-10-14T06:50:00Z</dcterms:created>
  <dcterms:modified xsi:type="dcterms:W3CDTF">2019-10-14T06:56:00Z</dcterms:modified>
</cp:coreProperties>
</file>