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5B" w:rsidRPr="00457D5B" w:rsidRDefault="00457D5B" w:rsidP="00457D5B">
      <w:pPr>
        <w:jc w:val="center"/>
        <w:rPr>
          <w:rFonts w:ascii="Times New Roman" w:eastAsia="標楷體" w:hAnsi="Times New Roman"/>
          <w:b/>
          <w:sz w:val="32"/>
          <w:szCs w:val="28"/>
        </w:rPr>
      </w:pPr>
      <w:bookmarkStart w:id="0" w:name="_GoBack"/>
      <w:bookmarkEnd w:id="0"/>
      <w:r w:rsidRPr="00AA76F8">
        <w:rPr>
          <w:rFonts w:ascii="Times New Roman" w:eastAsia="標楷體" w:hAnsi="Times New Roman" w:hint="eastAsia"/>
          <w:b/>
          <w:sz w:val="32"/>
          <w:szCs w:val="28"/>
        </w:rPr>
        <w:t>財團法人生物技術開發中心研究倫理委員會</w:t>
      </w:r>
    </w:p>
    <w:p w:rsidR="00E25F71" w:rsidRPr="00E25F71" w:rsidRDefault="00E25F71" w:rsidP="00E25F71">
      <w:pPr>
        <w:jc w:val="center"/>
        <w:rPr>
          <w:rFonts w:ascii="Times New Roman" w:eastAsia="標楷體" w:hAnsi="Times New Roman"/>
          <w:b/>
          <w:sz w:val="32"/>
          <w:szCs w:val="28"/>
        </w:rPr>
      </w:pPr>
      <w:r w:rsidRPr="00E25F71">
        <w:rPr>
          <w:rFonts w:ascii="Times New Roman" w:eastAsia="標楷體" w:hAnsi="Times New Roman"/>
          <w:b/>
          <w:sz w:val="32"/>
          <w:szCs w:val="28"/>
        </w:rPr>
        <w:t>簡易審查範圍</w:t>
      </w:r>
      <w:proofErr w:type="gramStart"/>
      <w:r w:rsidRPr="00E25F71">
        <w:rPr>
          <w:rFonts w:ascii="Times New Roman" w:eastAsia="標楷體" w:hAnsi="Times New Roman"/>
          <w:b/>
          <w:sz w:val="32"/>
          <w:szCs w:val="28"/>
        </w:rPr>
        <w:t>評檢表</w:t>
      </w:r>
      <w:proofErr w:type="gramEnd"/>
    </w:p>
    <w:p w:rsidR="00EB1C40" w:rsidRPr="00E25F71" w:rsidRDefault="00EB1C40">
      <w:pPr>
        <w:rPr>
          <w:rFonts w:ascii="Times New Roman" w:eastAsia="標楷體" w:hAnsi="Times New Roman"/>
        </w:rPr>
      </w:pPr>
    </w:p>
    <w:p w:rsidR="00E25F71" w:rsidRDefault="00E25F71">
      <w:pPr>
        <w:rPr>
          <w:rFonts w:ascii="Times New Roman" w:eastAsia="標楷體" w:hAnsi="Times New Roman"/>
        </w:rPr>
      </w:pPr>
      <w:r w:rsidRPr="00E25F71">
        <w:rPr>
          <w:rFonts w:ascii="Times New Roman" w:eastAsia="標楷體" w:hAnsi="Times New Roman"/>
        </w:rPr>
        <w:t>請自行勾選下列表格</w:t>
      </w:r>
      <w:r>
        <w:rPr>
          <w:rFonts w:ascii="Times New Roman" w:eastAsia="標楷體" w:hAnsi="Times New Roman" w:hint="eastAsia"/>
        </w:rPr>
        <w:t>，</w:t>
      </w:r>
      <w:r w:rsidRPr="00E25F71">
        <w:rPr>
          <w:rFonts w:ascii="Times New Roman" w:eastAsia="標楷體" w:hAnsi="Times New Roman"/>
        </w:rPr>
        <w:t>評估您的研究計畫是否屬於簡易審查。但其最後裁定權為本中心研究倫理委員會。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9036"/>
      </w:tblGrid>
      <w:tr w:rsidR="00E25F71" w:rsidRPr="00F00C5C" w:rsidTr="00457D5B">
        <w:trPr>
          <w:trHeight w:val="20"/>
        </w:trPr>
        <w:tc>
          <w:tcPr>
            <w:tcW w:w="415" w:type="pct"/>
            <w:tcBorders>
              <w:top w:val="single" w:sz="12" w:space="0" w:color="auto"/>
              <w:bottom w:val="single" w:sz="12" w:space="0" w:color="auto"/>
            </w:tcBorders>
            <w:vAlign w:val="center"/>
          </w:tcPr>
          <w:p w:rsidR="00E25F71" w:rsidRPr="00F00C5C" w:rsidRDefault="00E25F71" w:rsidP="00B77018">
            <w:pPr>
              <w:jc w:val="center"/>
              <w:rPr>
                <w:rFonts w:ascii="Times New Roman" w:eastAsia="標楷體" w:hAnsi="Times New Roman"/>
                <w:b/>
                <w:szCs w:val="24"/>
              </w:rPr>
            </w:pPr>
            <w:r w:rsidRPr="00F00C5C">
              <w:rPr>
                <w:rFonts w:ascii="Times New Roman" w:eastAsia="標楷體" w:hAnsi="Times New Roman" w:hint="eastAsia"/>
                <w:b/>
                <w:szCs w:val="24"/>
              </w:rPr>
              <w:t>勾選</w:t>
            </w:r>
          </w:p>
        </w:tc>
        <w:tc>
          <w:tcPr>
            <w:tcW w:w="4585" w:type="pct"/>
            <w:tcBorders>
              <w:top w:val="single" w:sz="12" w:space="0" w:color="auto"/>
              <w:bottom w:val="single" w:sz="12" w:space="0" w:color="auto"/>
            </w:tcBorders>
            <w:vAlign w:val="center"/>
          </w:tcPr>
          <w:p w:rsidR="00E25F71" w:rsidRPr="00F00C5C" w:rsidRDefault="00E25F71" w:rsidP="00E25F71">
            <w:pPr>
              <w:jc w:val="center"/>
              <w:rPr>
                <w:rFonts w:ascii="Times New Roman" w:eastAsia="標楷體" w:hAnsi="Times New Roman"/>
                <w:b/>
                <w:szCs w:val="24"/>
              </w:rPr>
            </w:pPr>
            <w:r w:rsidRPr="00F00C5C">
              <w:rPr>
                <w:rFonts w:ascii="Times New Roman" w:eastAsia="標楷體" w:hAnsi="Times New Roman" w:hint="eastAsia"/>
                <w:b/>
                <w:szCs w:val="24"/>
              </w:rPr>
              <w:t>內容</w:t>
            </w:r>
          </w:p>
        </w:tc>
      </w:tr>
      <w:tr w:rsidR="00E25F71" w:rsidRPr="00E25F71" w:rsidTr="00457D5B">
        <w:trPr>
          <w:trHeight w:val="20"/>
        </w:trPr>
        <w:tc>
          <w:tcPr>
            <w:tcW w:w="415" w:type="pct"/>
            <w:tcBorders>
              <w:top w:val="single" w:sz="12"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E25F71" w:rsidRPr="00457D5B" w:rsidRDefault="00E25F71" w:rsidP="00457D5B">
            <w:pPr>
              <w:pStyle w:val="a5"/>
              <w:numPr>
                <w:ilvl w:val="0"/>
                <w:numId w:val="2"/>
              </w:numPr>
              <w:ind w:leftChars="0" w:left="340" w:hanging="340"/>
              <w:jc w:val="both"/>
              <w:rPr>
                <w:rFonts w:ascii="Times New Roman" w:eastAsia="標楷體" w:hAnsi="Times New Roman"/>
                <w:szCs w:val="24"/>
              </w:rPr>
            </w:pPr>
            <w:r w:rsidRPr="00457D5B">
              <w:rPr>
                <w:rStyle w:val="a4"/>
                <w:rFonts w:ascii="Times New Roman" w:eastAsia="標楷體" w:hAnsi="Times New Roman" w:hint="eastAsia"/>
                <w:color w:val="auto"/>
                <w:szCs w:val="24"/>
                <w:u w:val="none"/>
              </w:rPr>
              <w:t>若您的研究僅需使用向捐血中心申請自捐贈者之血液分離後之廢棄檢體（有限檢體數目），如白血球、或具感染性之檢體等</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457D5B" w:rsidTr="00457D5B">
        <w:trPr>
          <w:trHeight w:val="20"/>
        </w:trPr>
        <w:tc>
          <w:tcPr>
            <w:tcW w:w="5000" w:type="pct"/>
            <w:gridSpan w:val="2"/>
            <w:tcBorders>
              <w:top w:val="single" w:sz="12" w:space="0" w:color="auto"/>
              <w:bottom w:val="single" w:sz="4" w:space="0" w:color="auto"/>
            </w:tcBorders>
            <w:vAlign w:val="center"/>
          </w:tcPr>
          <w:p w:rsidR="00E25F71" w:rsidRPr="00457D5B" w:rsidRDefault="00E25F71" w:rsidP="00457D5B">
            <w:pPr>
              <w:jc w:val="both"/>
              <w:rPr>
                <w:rStyle w:val="a4"/>
                <w:rFonts w:ascii="Times New Roman" w:eastAsia="標楷體" w:hAnsi="Times New Roman"/>
                <w:b/>
                <w:color w:val="auto"/>
                <w:szCs w:val="24"/>
                <w:u w:val="none"/>
              </w:rPr>
            </w:pPr>
            <w:r w:rsidRPr="00457D5B">
              <w:rPr>
                <w:rStyle w:val="a4"/>
                <w:rFonts w:ascii="Times New Roman" w:eastAsia="標楷體" w:hAnsi="Times New Roman" w:hint="eastAsia"/>
                <w:b/>
                <w:color w:val="auto"/>
                <w:szCs w:val="24"/>
                <w:u w:val="none"/>
              </w:rPr>
              <w:t>若您的計畫僅需使用剩餘檢體，且所執行項目：</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符合檢體提供者原先所同意之使用範圍</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4"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12"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超過檢體提供者原先所同意之使用範圍</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視計畫內容而定</w:t>
            </w:r>
          </w:p>
        </w:tc>
      </w:tr>
      <w:tr w:rsidR="00E25F71" w:rsidRPr="00457D5B" w:rsidTr="00457D5B">
        <w:trPr>
          <w:trHeight w:val="20"/>
        </w:trPr>
        <w:tc>
          <w:tcPr>
            <w:tcW w:w="5000" w:type="pct"/>
            <w:gridSpan w:val="2"/>
            <w:tcBorders>
              <w:top w:val="single" w:sz="12" w:space="0" w:color="auto"/>
            </w:tcBorders>
            <w:vAlign w:val="center"/>
          </w:tcPr>
          <w:p w:rsidR="00E25F71" w:rsidRPr="00457D5B" w:rsidRDefault="00E25F71" w:rsidP="00457D5B">
            <w:pPr>
              <w:jc w:val="both"/>
              <w:rPr>
                <w:rStyle w:val="a4"/>
                <w:rFonts w:ascii="Times New Roman" w:eastAsia="標楷體" w:hAnsi="Times New Roman"/>
                <w:b/>
                <w:color w:val="auto"/>
                <w:szCs w:val="24"/>
                <w:u w:val="none"/>
              </w:rPr>
            </w:pPr>
            <w:r w:rsidRPr="00457D5B">
              <w:rPr>
                <w:rStyle w:val="a4"/>
                <w:rFonts w:ascii="Times New Roman" w:eastAsia="標楷體" w:hAnsi="Times New Roman" w:hint="eastAsia"/>
                <w:b/>
                <w:color w:val="auto"/>
                <w:szCs w:val="24"/>
                <w:u w:val="none"/>
              </w:rPr>
              <w:t>若您的研究僅需使用靜脈血液檢體：</w:t>
            </w:r>
          </w:p>
        </w:tc>
      </w:tr>
      <w:tr w:rsidR="00E25F71" w:rsidRPr="00E25F71" w:rsidTr="00457D5B">
        <w:trPr>
          <w:trHeight w:val="20"/>
        </w:trPr>
        <w:tc>
          <w:tcPr>
            <w:tcW w:w="415" w:type="pct"/>
            <w:vAlign w:val="center"/>
          </w:tcPr>
          <w:p w:rsidR="00E25F71" w:rsidRPr="00E25F71" w:rsidRDefault="00E25F71" w:rsidP="00B77018">
            <w:pPr>
              <w:jc w:val="center"/>
              <w:rPr>
                <w:rFonts w:ascii="Times New Roman" w:eastAsia="標楷體" w:hAnsi="Times New Roman"/>
                <w:szCs w:val="24"/>
              </w:rPr>
            </w:pPr>
          </w:p>
        </w:tc>
        <w:tc>
          <w:tcPr>
            <w:tcW w:w="4585" w:type="pct"/>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以公開管道並遵循自願與自主性書面徵詢方式募集之捐贈者且受試者為健康簡易審查且未懷孕的成年人，體重達</w:t>
            </w:r>
            <w:r w:rsidRPr="00457D5B">
              <w:rPr>
                <w:rStyle w:val="a4"/>
                <w:rFonts w:ascii="Times New Roman" w:eastAsia="標楷體" w:hAnsi="Times New Roman"/>
                <w:color w:val="auto"/>
                <w:szCs w:val="24"/>
                <w:u w:val="none"/>
              </w:rPr>
              <w:t>50</w:t>
            </w:r>
            <w:r w:rsidRPr="00457D5B">
              <w:rPr>
                <w:rStyle w:val="a4"/>
                <w:rFonts w:ascii="Times New Roman" w:eastAsia="標楷體" w:hAnsi="Times New Roman" w:hint="eastAsia"/>
                <w:color w:val="auto"/>
                <w:szCs w:val="24"/>
                <w:u w:val="none"/>
              </w:rPr>
              <w:t>公斤以上，採集手指、腳跟、耳朵或靜脈血液，且</w:t>
            </w:r>
            <w:proofErr w:type="gramStart"/>
            <w:r w:rsidRPr="00457D5B">
              <w:rPr>
                <w:rStyle w:val="a4"/>
                <w:rFonts w:ascii="Times New Roman" w:eastAsia="標楷體" w:hAnsi="Times New Roman" w:hint="eastAsia"/>
                <w:color w:val="auto"/>
                <w:szCs w:val="24"/>
                <w:u w:val="none"/>
              </w:rPr>
              <w:t>採</w:t>
            </w:r>
            <w:proofErr w:type="gramEnd"/>
            <w:r w:rsidRPr="00457D5B">
              <w:rPr>
                <w:rStyle w:val="a4"/>
                <w:rFonts w:ascii="Times New Roman" w:eastAsia="標楷體" w:hAnsi="Times New Roman" w:hint="eastAsia"/>
                <w:color w:val="auto"/>
                <w:szCs w:val="24"/>
                <w:u w:val="none"/>
              </w:rPr>
              <w:t>血總量八</w:t>
            </w:r>
            <w:proofErr w:type="gramStart"/>
            <w:r w:rsidRPr="00457D5B">
              <w:rPr>
                <w:rStyle w:val="a4"/>
                <w:rFonts w:ascii="Times New Roman" w:eastAsia="標楷體" w:hAnsi="Times New Roman" w:hint="eastAsia"/>
                <w:color w:val="auto"/>
                <w:szCs w:val="24"/>
                <w:u w:val="none"/>
              </w:rPr>
              <w:t>週</w:t>
            </w:r>
            <w:proofErr w:type="gramEnd"/>
            <w:r w:rsidRPr="00457D5B">
              <w:rPr>
                <w:rStyle w:val="a4"/>
                <w:rFonts w:ascii="Times New Roman" w:eastAsia="標楷體" w:hAnsi="Times New Roman" w:hint="eastAsia"/>
                <w:color w:val="auto"/>
                <w:szCs w:val="24"/>
                <w:u w:val="none"/>
              </w:rPr>
              <w:t>內不超過</w:t>
            </w:r>
            <w:r w:rsidRPr="00457D5B">
              <w:rPr>
                <w:rStyle w:val="a4"/>
                <w:rFonts w:ascii="Times New Roman" w:eastAsia="標楷體" w:hAnsi="Times New Roman"/>
                <w:color w:val="auto"/>
                <w:szCs w:val="24"/>
                <w:u w:val="none"/>
              </w:rPr>
              <w:t>320</w:t>
            </w:r>
            <w:r w:rsidRPr="00457D5B">
              <w:rPr>
                <w:rStyle w:val="a4"/>
                <w:rFonts w:ascii="Times New Roman" w:eastAsia="標楷體" w:hAnsi="Times New Roman" w:hint="eastAsia"/>
                <w:color w:val="auto"/>
                <w:szCs w:val="24"/>
                <w:u w:val="none"/>
              </w:rPr>
              <w:t>毫升，每週</w:t>
            </w:r>
            <w:proofErr w:type="gramStart"/>
            <w:r w:rsidRPr="00457D5B">
              <w:rPr>
                <w:rStyle w:val="a4"/>
                <w:rFonts w:ascii="Times New Roman" w:eastAsia="標楷體" w:hAnsi="Times New Roman" w:hint="eastAsia"/>
                <w:color w:val="auto"/>
                <w:szCs w:val="24"/>
                <w:u w:val="none"/>
              </w:rPr>
              <w:t>採血不</w:t>
            </w:r>
            <w:proofErr w:type="gramEnd"/>
            <w:r w:rsidRPr="00457D5B">
              <w:rPr>
                <w:rStyle w:val="a4"/>
                <w:rFonts w:ascii="Times New Roman" w:eastAsia="標楷體" w:hAnsi="Times New Roman" w:hint="eastAsia"/>
                <w:color w:val="auto"/>
                <w:szCs w:val="24"/>
                <w:u w:val="none"/>
              </w:rPr>
              <w:t>超過二次，且每次</w:t>
            </w:r>
            <w:proofErr w:type="gramStart"/>
            <w:r w:rsidRPr="00457D5B">
              <w:rPr>
                <w:rStyle w:val="a4"/>
                <w:rFonts w:ascii="Times New Roman" w:eastAsia="標楷體" w:hAnsi="Times New Roman" w:hint="eastAsia"/>
                <w:color w:val="auto"/>
                <w:szCs w:val="24"/>
                <w:u w:val="none"/>
              </w:rPr>
              <w:t>採血不</w:t>
            </w:r>
            <w:proofErr w:type="gramEnd"/>
            <w:r w:rsidRPr="00457D5B">
              <w:rPr>
                <w:rStyle w:val="a4"/>
                <w:rFonts w:ascii="Times New Roman" w:eastAsia="標楷體" w:hAnsi="Times New Roman" w:hint="eastAsia"/>
                <w:color w:val="auto"/>
                <w:szCs w:val="24"/>
                <w:u w:val="none"/>
              </w:rPr>
              <w:t>超過</w:t>
            </w:r>
            <w:r w:rsidRPr="00457D5B">
              <w:rPr>
                <w:rStyle w:val="a4"/>
                <w:rFonts w:ascii="Times New Roman" w:eastAsia="標楷體" w:hAnsi="Times New Roman"/>
                <w:color w:val="auto"/>
                <w:szCs w:val="24"/>
                <w:u w:val="none"/>
              </w:rPr>
              <w:t>20</w:t>
            </w:r>
            <w:r w:rsidRPr="00457D5B">
              <w:rPr>
                <w:rStyle w:val="a4"/>
                <w:rFonts w:ascii="Times New Roman" w:eastAsia="標楷體" w:hAnsi="Times New Roman" w:hint="eastAsia"/>
                <w:color w:val="auto"/>
                <w:szCs w:val="24"/>
                <w:u w:val="none"/>
              </w:rPr>
              <w:t>毫升。</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bottom w:val="single" w:sz="12"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受試者為孕婦、未成年人、特定疾病病人、意識不清者、少數民族（例如原住民）、特定職業（例如軍人、學生、自己實驗室之助理）</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一般審查</w:t>
            </w:r>
          </w:p>
        </w:tc>
      </w:tr>
      <w:tr w:rsidR="00E25F71" w:rsidRPr="00457D5B" w:rsidTr="00457D5B">
        <w:trPr>
          <w:trHeight w:val="20"/>
        </w:trPr>
        <w:tc>
          <w:tcPr>
            <w:tcW w:w="5000" w:type="pct"/>
            <w:gridSpan w:val="2"/>
            <w:tcBorders>
              <w:top w:val="single" w:sz="12" w:space="0" w:color="auto"/>
              <w:bottom w:val="single" w:sz="4" w:space="0" w:color="auto"/>
            </w:tcBorders>
            <w:vAlign w:val="center"/>
          </w:tcPr>
          <w:p w:rsidR="00E25F71" w:rsidRPr="00457D5B" w:rsidRDefault="00E25F71" w:rsidP="00457D5B">
            <w:pPr>
              <w:jc w:val="both"/>
              <w:rPr>
                <w:rStyle w:val="a4"/>
                <w:rFonts w:ascii="Times New Roman" w:eastAsia="標楷體" w:hAnsi="Times New Roman"/>
                <w:b/>
                <w:color w:val="auto"/>
                <w:szCs w:val="24"/>
                <w:u w:val="none"/>
              </w:rPr>
            </w:pPr>
            <w:r w:rsidRPr="00457D5B">
              <w:rPr>
                <w:rStyle w:val="a4"/>
                <w:rFonts w:ascii="Times New Roman" w:eastAsia="標楷體" w:hAnsi="Times New Roman" w:hint="eastAsia"/>
                <w:b/>
                <w:color w:val="auto"/>
                <w:szCs w:val="24"/>
                <w:u w:val="none"/>
              </w:rPr>
              <w:t>若您的研究僅需使用以下非侵入性方法採集之人體檢體，皆屬於簡易審查：</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以不損傷外形的方式收集頭髮、指甲或體表自然脫落之皮屑。</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收集因例行照護需要而拔除之恆齒。</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收集排泄物和體外分泌物，如汗液等。</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非以套管取得唾液，但使用非刺激方式、咀嚼口香糖、</w:t>
            </w:r>
            <w:proofErr w:type="gramStart"/>
            <w:r w:rsidRPr="00457D5B">
              <w:rPr>
                <w:rStyle w:val="a4"/>
                <w:rFonts w:ascii="Times New Roman" w:eastAsia="標楷體" w:hAnsi="Times New Roman" w:hint="eastAsia"/>
                <w:color w:val="auto"/>
                <w:szCs w:val="24"/>
                <w:u w:val="none"/>
              </w:rPr>
              <w:t>蠟或施用</w:t>
            </w:r>
            <w:proofErr w:type="gramEnd"/>
            <w:r w:rsidRPr="00457D5B">
              <w:rPr>
                <w:rStyle w:val="a4"/>
                <w:rFonts w:ascii="Times New Roman" w:eastAsia="標楷體" w:hAnsi="Times New Roman" w:hint="eastAsia"/>
                <w:color w:val="auto"/>
                <w:szCs w:val="24"/>
                <w:u w:val="none"/>
              </w:rPr>
              <w:t>檸檬酸刺激舌頭取得唾液。</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以一般洗牙程序或低於其侵犯性範圍之程序採集牙齦上或牙齦內之牙</w:t>
            </w:r>
            <w:proofErr w:type="gramStart"/>
            <w:r w:rsidRPr="00457D5B">
              <w:rPr>
                <w:rStyle w:val="a4"/>
                <w:rFonts w:ascii="Times New Roman" w:eastAsia="標楷體" w:hAnsi="Times New Roman" w:hint="eastAsia"/>
                <w:color w:val="auto"/>
                <w:szCs w:val="24"/>
                <w:u w:val="none"/>
              </w:rPr>
              <w:t>菌斑及牙</w:t>
            </w:r>
            <w:proofErr w:type="gramEnd"/>
            <w:r w:rsidRPr="00457D5B">
              <w:rPr>
                <w:rStyle w:val="a4"/>
                <w:rFonts w:ascii="Times New Roman" w:eastAsia="標楷體" w:hAnsi="Times New Roman" w:hint="eastAsia"/>
                <w:color w:val="auto"/>
                <w:szCs w:val="24"/>
                <w:u w:val="none"/>
              </w:rPr>
              <w:t>結石。</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proofErr w:type="gramStart"/>
            <w:r w:rsidRPr="00457D5B">
              <w:rPr>
                <w:rStyle w:val="a4"/>
                <w:rFonts w:ascii="Times New Roman" w:eastAsia="標楷體" w:hAnsi="Times New Roman" w:hint="eastAsia"/>
                <w:color w:val="auto"/>
                <w:szCs w:val="24"/>
                <w:u w:val="none"/>
              </w:rPr>
              <w:t>以刮取</w:t>
            </w:r>
            <w:proofErr w:type="gramEnd"/>
            <w:r w:rsidRPr="00457D5B">
              <w:rPr>
                <w:rStyle w:val="a4"/>
                <w:rFonts w:ascii="Times New Roman" w:eastAsia="標楷體" w:hAnsi="Times New Roman" w:hint="eastAsia"/>
                <w:color w:val="auto"/>
                <w:szCs w:val="24"/>
                <w:u w:val="none"/>
              </w:rPr>
              <w:t>或漱口方式，自口腔或皮膚採集黏膜或皮膚細胞。</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以蒸氣吸入後收集之痰液。</w:t>
            </w:r>
          </w:p>
        </w:tc>
      </w:tr>
      <w:tr w:rsidR="00E25F71" w:rsidRPr="00E25F71" w:rsidTr="00457D5B">
        <w:trPr>
          <w:trHeight w:val="20"/>
        </w:trPr>
        <w:tc>
          <w:tcPr>
            <w:tcW w:w="415" w:type="pct"/>
            <w:tcBorders>
              <w:top w:val="single" w:sz="4"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12" w:space="0" w:color="auto"/>
            </w:tcBorders>
            <w:vAlign w:val="center"/>
          </w:tcPr>
          <w:p w:rsidR="00E25F71" w:rsidRPr="00457D5B" w:rsidRDefault="00E25F71"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其他非以穿刺、皮膚切開或使用器械置入人體方式採集檢體。</w:t>
            </w:r>
          </w:p>
        </w:tc>
      </w:tr>
      <w:tr w:rsidR="00E25F71" w:rsidRPr="00457D5B" w:rsidTr="00457D5B">
        <w:trPr>
          <w:trHeight w:val="20"/>
        </w:trPr>
        <w:tc>
          <w:tcPr>
            <w:tcW w:w="5000" w:type="pct"/>
            <w:gridSpan w:val="2"/>
            <w:tcBorders>
              <w:top w:val="single" w:sz="12" w:space="0" w:color="auto"/>
              <w:bottom w:val="single" w:sz="4" w:space="0" w:color="auto"/>
            </w:tcBorders>
            <w:vAlign w:val="center"/>
          </w:tcPr>
          <w:p w:rsidR="00E25F71" w:rsidRPr="00457D5B" w:rsidRDefault="00E25F71" w:rsidP="00457D5B">
            <w:pPr>
              <w:jc w:val="both"/>
              <w:rPr>
                <w:rStyle w:val="a4"/>
                <w:rFonts w:ascii="Times New Roman" w:eastAsia="標楷體" w:hAnsi="Times New Roman"/>
                <w:b/>
                <w:color w:val="auto"/>
                <w:szCs w:val="24"/>
                <w:u w:val="none"/>
              </w:rPr>
            </w:pPr>
            <w:r w:rsidRPr="00457D5B">
              <w:rPr>
                <w:rStyle w:val="a4"/>
                <w:rFonts w:ascii="Times New Roman" w:eastAsia="標楷體" w:hAnsi="Times New Roman" w:hint="eastAsia"/>
                <w:b/>
                <w:color w:val="auto"/>
                <w:szCs w:val="24"/>
                <w:u w:val="none"/>
              </w:rPr>
              <w:t>若您的研究使用下列非侵入性方法收集資料。使用之醫療器材，須經中央主管機關核准上市，且不包括使用游離輻射、微波、全身麻醉或鎮靜劑等方式。皆屬於簡易審查：</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使用於研究對象體表或一段距離之感應器，不涉及相當能量的輸入或侵犯研究對象隱私。</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測量體重或感覺測試。</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核磁共振造影。</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心電圖、腦波圖、體溫、自然背景輻射偵測、視網膜電圖、超音波、診斷性紅外線造影、</w:t>
            </w:r>
            <w:proofErr w:type="gramStart"/>
            <w:r w:rsidRPr="00457D5B">
              <w:rPr>
                <w:rStyle w:val="a4"/>
                <w:rFonts w:ascii="Times New Roman" w:eastAsia="標楷體" w:hAnsi="Times New Roman" w:hint="eastAsia"/>
                <w:color w:val="auto"/>
                <w:szCs w:val="24"/>
                <w:u w:val="none"/>
              </w:rPr>
              <w:t>杜卜勒血</w:t>
            </w:r>
            <w:proofErr w:type="gramEnd"/>
            <w:r w:rsidRPr="00457D5B">
              <w:rPr>
                <w:rStyle w:val="a4"/>
                <w:rFonts w:ascii="Times New Roman" w:eastAsia="標楷體" w:hAnsi="Times New Roman" w:hint="eastAsia"/>
                <w:color w:val="auto"/>
                <w:szCs w:val="24"/>
                <w:u w:val="none"/>
              </w:rPr>
              <w:t>流檢查及心臟超音波。</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依研究對象年齡、體重和健康情形所為之適度運動、肌力測試、身體組織成分評估與柔軟度測試。</w:t>
            </w:r>
          </w:p>
        </w:tc>
      </w:tr>
      <w:tr w:rsidR="00E25F71" w:rsidRPr="00E25F71" w:rsidTr="00457D5B">
        <w:trPr>
          <w:trHeight w:val="20"/>
        </w:trPr>
        <w:tc>
          <w:tcPr>
            <w:tcW w:w="415" w:type="pct"/>
            <w:tcBorders>
              <w:top w:val="single" w:sz="4"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其他符合本款規定之非侵入性方法。</w:t>
            </w:r>
          </w:p>
        </w:tc>
      </w:tr>
      <w:tr w:rsidR="00E25F71" w:rsidRPr="00E25F71" w:rsidTr="00457D5B">
        <w:trPr>
          <w:trHeight w:val="20"/>
        </w:trPr>
        <w:tc>
          <w:tcPr>
            <w:tcW w:w="415" w:type="pct"/>
            <w:tcBorders>
              <w:top w:val="single" w:sz="12"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使用臨床常規治療或診斷之病歷，含個案報告之研究。但不含人類後天性免疫不全病毒（</w:t>
            </w:r>
            <w:r w:rsidRPr="00457D5B">
              <w:rPr>
                <w:rStyle w:val="a4"/>
                <w:rFonts w:ascii="Times New Roman" w:eastAsia="標楷體" w:hAnsi="Times New Roman" w:hint="eastAsia"/>
                <w:color w:val="auto"/>
                <w:szCs w:val="24"/>
                <w:u w:val="none"/>
              </w:rPr>
              <w:t>HIV</w:t>
            </w:r>
            <w:r w:rsidRPr="00457D5B">
              <w:rPr>
                <w:rStyle w:val="a4"/>
                <w:rFonts w:ascii="Times New Roman" w:eastAsia="標楷體" w:hAnsi="Times New Roman" w:hint="eastAsia"/>
                <w:color w:val="auto"/>
                <w:szCs w:val="24"/>
                <w:u w:val="none"/>
              </w:rPr>
              <w:t>）陽性患者之病歷</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12"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以研究為目的所蒐集之錄音、錄影或影像資料。但不含可辨識或可能影響研究對象工作、保險、財務及社會關係之資料</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12"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研究個人或群體特質或行為，但不含造成個人或族群歧視之潛在可能者</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F00C5C" w:rsidRPr="00457D5B" w:rsidTr="00457D5B">
        <w:trPr>
          <w:trHeight w:val="20"/>
        </w:trPr>
        <w:tc>
          <w:tcPr>
            <w:tcW w:w="5000" w:type="pct"/>
            <w:gridSpan w:val="2"/>
            <w:tcBorders>
              <w:top w:val="single" w:sz="12" w:space="0" w:color="auto"/>
              <w:bottom w:val="single" w:sz="4" w:space="0" w:color="auto"/>
            </w:tcBorders>
            <w:vAlign w:val="center"/>
          </w:tcPr>
          <w:p w:rsidR="00F00C5C" w:rsidRPr="00457D5B" w:rsidRDefault="00F00C5C" w:rsidP="00457D5B">
            <w:pPr>
              <w:jc w:val="both"/>
              <w:rPr>
                <w:rStyle w:val="a4"/>
                <w:rFonts w:ascii="Times New Roman" w:eastAsia="標楷體" w:hAnsi="Times New Roman"/>
                <w:b/>
                <w:color w:val="auto"/>
                <w:szCs w:val="24"/>
                <w:u w:val="none"/>
              </w:rPr>
            </w:pPr>
            <w:r w:rsidRPr="00457D5B">
              <w:rPr>
                <w:rStyle w:val="a4"/>
                <w:rFonts w:ascii="Times New Roman" w:eastAsia="標楷體" w:hAnsi="Times New Roman" w:hint="eastAsia"/>
                <w:b/>
                <w:color w:val="auto"/>
                <w:szCs w:val="24"/>
                <w:u w:val="none"/>
              </w:rPr>
              <w:t>已審查通過之計畫，符合下列情形之</w:t>
            </w:r>
            <w:proofErr w:type="gramStart"/>
            <w:r w:rsidRPr="00457D5B">
              <w:rPr>
                <w:rStyle w:val="a4"/>
                <w:rFonts w:ascii="Times New Roman" w:eastAsia="標楷體" w:hAnsi="Times New Roman" w:hint="eastAsia"/>
                <w:b/>
                <w:color w:val="auto"/>
                <w:szCs w:val="24"/>
                <w:u w:val="none"/>
              </w:rPr>
              <w:t>一</w:t>
            </w:r>
            <w:proofErr w:type="gramEnd"/>
            <w:r w:rsidRPr="00457D5B">
              <w:rPr>
                <w:rStyle w:val="a4"/>
                <w:rFonts w:ascii="Times New Roman" w:eastAsia="標楷體" w:hAnsi="Times New Roman" w:hint="eastAsia"/>
                <w:b/>
                <w:color w:val="auto"/>
                <w:szCs w:val="24"/>
                <w:u w:val="none"/>
              </w:rPr>
              <w:t>者，皆屬於簡易審查：</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該研究已不再收錄新個案，且所收錄之研究</w:t>
            </w:r>
            <w:proofErr w:type="gramStart"/>
            <w:r w:rsidRPr="00457D5B">
              <w:rPr>
                <w:rStyle w:val="a4"/>
                <w:rFonts w:ascii="Times New Roman" w:eastAsia="標楷體" w:hAnsi="Times New Roman" w:hint="eastAsia"/>
                <w:color w:val="auto"/>
                <w:szCs w:val="24"/>
                <w:u w:val="none"/>
              </w:rPr>
              <w:t>對象均已完成</w:t>
            </w:r>
            <w:proofErr w:type="gramEnd"/>
            <w:r w:rsidRPr="00457D5B">
              <w:rPr>
                <w:rStyle w:val="a4"/>
                <w:rFonts w:ascii="Times New Roman" w:eastAsia="標楷體" w:hAnsi="Times New Roman" w:hint="eastAsia"/>
                <w:color w:val="auto"/>
                <w:szCs w:val="24"/>
                <w:u w:val="none"/>
              </w:rPr>
              <w:t>所有相關的研究試驗，惟仍須長期追蹤</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4" w:space="0" w:color="auto"/>
              <w:bottom w:val="single" w:sz="4"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4"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未能於原訂計畫期間達成收案數，</w:t>
            </w:r>
            <w:proofErr w:type="gramStart"/>
            <w:r w:rsidRPr="00457D5B">
              <w:rPr>
                <w:rStyle w:val="a4"/>
                <w:rFonts w:ascii="Times New Roman" w:eastAsia="標楷體" w:hAnsi="Times New Roman" w:hint="eastAsia"/>
                <w:color w:val="auto"/>
                <w:szCs w:val="24"/>
                <w:u w:val="none"/>
              </w:rPr>
              <w:t>僅展延</w:t>
            </w:r>
            <w:proofErr w:type="gramEnd"/>
            <w:r w:rsidRPr="00457D5B">
              <w:rPr>
                <w:rStyle w:val="a4"/>
                <w:rFonts w:ascii="Times New Roman" w:eastAsia="標楷體" w:hAnsi="Times New Roman" w:hint="eastAsia"/>
                <w:color w:val="auto"/>
                <w:szCs w:val="24"/>
                <w:u w:val="none"/>
              </w:rPr>
              <w:t>計畫</w:t>
            </w:r>
            <w:proofErr w:type="gramStart"/>
            <w:r w:rsidRPr="00457D5B">
              <w:rPr>
                <w:rStyle w:val="a4"/>
                <w:rFonts w:ascii="Times New Roman" w:eastAsia="標楷體" w:hAnsi="Times New Roman" w:hint="eastAsia"/>
                <w:color w:val="auto"/>
                <w:szCs w:val="24"/>
                <w:u w:val="none"/>
              </w:rPr>
              <w:t>期間，</w:t>
            </w:r>
            <w:proofErr w:type="gramEnd"/>
            <w:r w:rsidRPr="00457D5B">
              <w:rPr>
                <w:rStyle w:val="a4"/>
                <w:rFonts w:ascii="Times New Roman" w:eastAsia="標楷體" w:hAnsi="Times New Roman" w:hint="eastAsia"/>
                <w:color w:val="auto"/>
                <w:szCs w:val="24"/>
                <w:u w:val="none"/>
              </w:rPr>
              <w:t>未再增加個案數，且無新增之危險性</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4"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4"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僅限於接續前階段研究之後續資料分析</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E25F71" w:rsidRPr="00E25F71" w:rsidTr="00457D5B">
        <w:trPr>
          <w:trHeight w:val="20"/>
        </w:trPr>
        <w:tc>
          <w:tcPr>
            <w:tcW w:w="415" w:type="pct"/>
            <w:tcBorders>
              <w:top w:val="single" w:sz="12" w:space="0" w:color="auto"/>
              <w:bottom w:val="single" w:sz="12" w:space="0" w:color="auto"/>
            </w:tcBorders>
            <w:vAlign w:val="center"/>
          </w:tcPr>
          <w:p w:rsidR="00E25F71" w:rsidRPr="00E25F71" w:rsidRDefault="00E25F71"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E25F71"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自合法生物資料庫取得之去連結或無法辨識特定個人之資料、檔案、文件、資訊或檢體進行研究。但不包括涉及族群或群體利益者。</w:t>
            </w:r>
            <w:proofErr w:type="gramStart"/>
            <w:r w:rsidRPr="00457D5B">
              <w:rPr>
                <w:rStyle w:val="a4"/>
                <w:rFonts w:ascii="Times New Roman" w:eastAsia="標楷體" w:hAnsi="Times New Roman" w:hint="eastAsia"/>
                <w:color w:val="auto"/>
                <w:szCs w:val="24"/>
                <w:u w:val="none"/>
              </w:rPr>
              <w:t>—</w:t>
            </w:r>
            <w:proofErr w:type="gramEnd"/>
            <w:r w:rsidRPr="00457D5B">
              <w:rPr>
                <w:rStyle w:val="a4"/>
                <w:rFonts w:ascii="Times New Roman" w:eastAsia="標楷體" w:hAnsi="Times New Roman" w:hint="eastAsia"/>
                <w:color w:val="auto"/>
                <w:szCs w:val="24"/>
                <w:u w:val="none"/>
              </w:rPr>
              <w:t>簡易審查</w:t>
            </w:r>
          </w:p>
        </w:tc>
      </w:tr>
      <w:tr w:rsidR="00F00C5C" w:rsidRPr="00E25F71" w:rsidTr="00457D5B">
        <w:trPr>
          <w:trHeight w:val="20"/>
        </w:trPr>
        <w:tc>
          <w:tcPr>
            <w:tcW w:w="415" w:type="pct"/>
            <w:tcBorders>
              <w:top w:val="single" w:sz="12" w:space="0" w:color="auto"/>
              <w:bottom w:val="single" w:sz="12" w:space="0" w:color="auto"/>
            </w:tcBorders>
            <w:vAlign w:val="center"/>
          </w:tcPr>
          <w:p w:rsidR="00F00C5C" w:rsidRPr="00E25F71" w:rsidRDefault="00F00C5C"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F00C5C"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審查會承接其他合法審查會通過之研究計畫，得以簡易審查程序追認之。</w:t>
            </w:r>
          </w:p>
        </w:tc>
      </w:tr>
      <w:tr w:rsidR="00F00C5C" w:rsidRPr="00E25F71" w:rsidTr="00457D5B">
        <w:trPr>
          <w:trHeight w:val="20"/>
        </w:trPr>
        <w:tc>
          <w:tcPr>
            <w:tcW w:w="415" w:type="pct"/>
            <w:tcBorders>
              <w:top w:val="single" w:sz="12" w:space="0" w:color="auto"/>
              <w:bottom w:val="single" w:sz="12" w:space="0" w:color="auto"/>
            </w:tcBorders>
            <w:vAlign w:val="center"/>
          </w:tcPr>
          <w:p w:rsidR="00F00C5C" w:rsidRPr="00E25F71" w:rsidRDefault="00F00C5C" w:rsidP="00B77018">
            <w:pPr>
              <w:jc w:val="center"/>
              <w:rPr>
                <w:rFonts w:ascii="Times New Roman" w:eastAsia="標楷體" w:hAnsi="Times New Roman"/>
                <w:szCs w:val="24"/>
              </w:rPr>
            </w:pPr>
          </w:p>
        </w:tc>
        <w:tc>
          <w:tcPr>
            <w:tcW w:w="4585" w:type="pct"/>
            <w:tcBorders>
              <w:top w:val="single" w:sz="12" w:space="0" w:color="auto"/>
              <w:bottom w:val="single" w:sz="12" w:space="0" w:color="auto"/>
            </w:tcBorders>
            <w:vAlign w:val="center"/>
          </w:tcPr>
          <w:p w:rsidR="00F00C5C" w:rsidRPr="00457D5B" w:rsidRDefault="00F00C5C" w:rsidP="00457D5B">
            <w:pPr>
              <w:pStyle w:val="a5"/>
              <w:numPr>
                <w:ilvl w:val="0"/>
                <w:numId w:val="2"/>
              </w:numPr>
              <w:ind w:leftChars="0" w:left="340" w:hanging="340"/>
              <w:jc w:val="both"/>
              <w:rPr>
                <w:rStyle w:val="a4"/>
                <w:rFonts w:ascii="Times New Roman" w:eastAsia="標楷體" w:hAnsi="Times New Roman"/>
                <w:color w:val="auto"/>
                <w:szCs w:val="24"/>
                <w:u w:val="none"/>
              </w:rPr>
            </w:pPr>
            <w:r w:rsidRPr="00457D5B">
              <w:rPr>
                <w:rStyle w:val="a4"/>
                <w:rFonts w:ascii="Times New Roman" w:eastAsia="標楷體" w:hAnsi="Times New Roman" w:hint="eastAsia"/>
                <w:color w:val="auto"/>
                <w:szCs w:val="24"/>
                <w:u w:val="none"/>
              </w:rPr>
              <w:t>其他：</w:t>
            </w:r>
            <w:r w:rsidRPr="00457D5B">
              <w:rPr>
                <w:rStyle w:val="a4"/>
                <w:rFonts w:ascii="Times New Roman" w:eastAsia="標楷體" w:hAnsi="Times New Roman"/>
                <w:color w:val="auto"/>
                <w:szCs w:val="24"/>
                <w:u w:val="none"/>
              </w:rPr>
              <w:t>                                                                                                    </w:t>
            </w:r>
          </w:p>
        </w:tc>
      </w:tr>
    </w:tbl>
    <w:p w:rsidR="00E25F71" w:rsidRPr="00E25F71" w:rsidRDefault="00E25F71">
      <w:pPr>
        <w:rPr>
          <w:rFonts w:ascii="Times New Roman" w:eastAsia="標楷體" w:hAnsi="Times New Roman"/>
        </w:rPr>
      </w:pPr>
    </w:p>
    <w:sectPr w:rsidR="00E25F71" w:rsidRPr="00E25F71" w:rsidSect="00E25F7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5C" w:rsidRDefault="00F00C5C" w:rsidP="00F00C5C">
      <w:r>
        <w:separator/>
      </w:r>
    </w:p>
  </w:endnote>
  <w:endnote w:type="continuationSeparator" w:id="0">
    <w:p w:rsidR="00F00C5C" w:rsidRDefault="00F00C5C" w:rsidP="00F0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B4" w:rsidRPr="002000B4" w:rsidRDefault="00084923" w:rsidP="00084923">
    <w:pPr>
      <w:pStyle w:val="a8"/>
      <w:tabs>
        <w:tab w:val="clear" w:pos="4153"/>
        <w:tab w:val="center" w:pos="4395"/>
        <w:tab w:val="center" w:pos="4819"/>
        <w:tab w:val="left" w:pos="7950"/>
      </w:tabs>
      <w:jc w:val="right"/>
      <w:rPr>
        <w:rFonts w:ascii="Times New Roman" w:eastAsia="標楷體" w:hAnsi="Times New Roman"/>
      </w:rPr>
    </w:pPr>
    <w:r>
      <w:rPr>
        <w:rFonts w:ascii="Times New Roman" w:eastAsia="標楷體" w:hAnsi="Times New Roman"/>
      </w:rPr>
      <w:tab/>
    </w:r>
    <w:sdt>
      <w:sdtPr>
        <w:rPr>
          <w:rFonts w:ascii="Times New Roman" w:eastAsia="標楷體" w:hAnsi="Times New Roman"/>
        </w:rPr>
        <w:id w:val="-1554225236"/>
        <w:docPartObj>
          <w:docPartGallery w:val="Page Numbers (Bottom of Page)"/>
          <w:docPartUnique/>
        </w:docPartObj>
      </w:sdtPr>
      <w:sdtEndPr/>
      <w:sdtContent>
        <w:r w:rsidR="002000B4" w:rsidRPr="00601BFF">
          <w:rPr>
            <w:rFonts w:ascii="Times New Roman" w:eastAsia="標楷體" w:hAnsi="Times New Roman"/>
          </w:rPr>
          <w:t>第</w:t>
        </w:r>
        <w:r w:rsidR="002000B4" w:rsidRPr="00601BFF">
          <w:rPr>
            <w:rFonts w:ascii="Times New Roman" w:eastAsia="標楷體" w:hAnsi="Times New Roman"/>
          </w:rPr>
          <w:fldChar w:fldCharType="begin"/>
        </w:r>
        <w:r w:rsidR="002000B4" w:rsidRPr="00601BFF">
          <w:rPr>
            <w:rFonts w:ascii="Times New Roman" w:eastAsia="標楷體" w:hAnsi="Times New Roman"/>
          </w:rPr>
          <w:instrText>PAGE   \* MERGEFORMAT</w:instrText>
        </w:r>
        <w:r w:rsidR="002000B4" w:rsidRPr="00601BFF">
          <w:rPr>
            <w:rFonts w:ascii="Times New Roman" w:eastAsia="標楷體" w:hAnsi="Times New Roman"/>
          </w:rPr>
          <w:fldChar w:fldCharType="separate"/>
        </w:r>
        <w:r w:rsidRPr="00084923">
          <w:rPr>
            <w:rFonts w:ascii="Times New Roman" w:eastAsia="標楷體" w:hAnsi="Times New Roman"/>
            <w:noProof/>
            <w:lang w:val="zh-TW"/>
          </w:rPr>
          <w:t>1</w:t>
        </w:r>
        <w:r w:rsidR="002000B4" w:rsidRPr="00601BFF">
          <w:rPr>
            <w:rFonts w:ascii="Times New Roman" w:eastAsia="標楷體" w:hAnsi="Times New Roman"/>
          </w:rPr>
          <w:fldChar w:fldCharType="end"/>
        </w:r>
        <w:r w:rsidR="002000B4" w:rsidRPr="00601BFF">
          <w:rPr>
            <w:rFonts w:ascii="Times New Roman" w:eastAsia="標楷體" w:hAnsi="Times New Roman"/>
          </w:rPr>
          <w:t>頁／共</w:t>
        </w:r>
        <w:r w:rsidR="002000B4" w:rsidRPr="00601BFF">
          <w:rPr>
            <w:rFonts w:ascii="Times New Roman" w:eastAsia="標楷體" w:hAnsi="Times New Roman"/>
          </w:rPr>
          <w:fldChar w:fldCharType="begin"/>
        </w:r>
        <w:r w:rsidR="002000B4" w:rsidRPr="00601BFF">
          <w:rPr>
            <w:rFonts w:ascii="Times New Roman" w:eastAsia="標楷體" w:hAnsi="Times New Roman"/>
          </w:rPr>
          <w:instrText xml:space="preserve"> NUMPAGES  \* Arabic  \* MERGEFORMAT </w:instrText>
        </w:r>
        <w:r w:rsidR="002000B4" w:rsidRPr="00601BFF">
          <w:rPr>
            <w:rFonts w:ascii="Times New Roman" w:eastAsia="標楷體" w:hAnsi="Times New Roman"/>
          </w:rPr>
          <w:fldChar w:fldCharType="separate"/>
        </w:r>
        <w:r>
          <w:rPr>
            <w:rFonts w:ascii="Times New Roman" w:eastAsia="標楷體" w:hAnsi="Times New Roman"/>
            <w:noProof/>
          </w:rPr>
          <w:t>2</w:t>
        </w:r>
        <w:r w:rsidR="002000B4" w:rsidRPr="00601BFF">
          <w:rPr>
            <w:rFonts w:ascii="Times New Roman" w:eastAsia="標楷體" w:hAnsi="Times New Roman"/>
          </w:rPr>
          <w:fldChar w:fldCharType="end"/>
        </w:r>
        <w:r w:rsidR="002000B4" w:rsidRPr="00601BFF">
          <w:rPr>
            <w:rFonts w:ascii="Times New Roman" w:eastAsia="標楷體" w:hAnsi="Times New Roman"/>
          </w:rPr>
          <w:t>頁</w:t>
        </w:r>
      </w:sdtContent>
    </w:sdt>
    <w:r>
      <w:rPr>
        <w:rFonts w:ascii="Times New Roman" w:eastAsia="標楷體" w:hAnsi="Times New Roman"/>
      </w:rPr>
      <w:tab/>
    </w:r>
    <w:r w:rsidRPr="00084923">
      <w:rPr>
        <w:rFonts w:ascii="Times New Roman" w:eastAsia="標楷體" w:hAnsi="Times New Roman" w:hint="eastAsia"/>
        <w:sz w:val="24"/>
        <w:szCs w:val="24"/>
      </w:rPr>
      <w:t>IRB07-01-01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5C" w:rsidRDefault="00F00C5C" w:rsidP="00F00C5C">
      <w:r>
        <w:separator/>
      </w:r>
    </w:p>
  </w:footnote>
  <w:footnote w:type="continuationSeparator" w:id="0">
    <w:p w:rsidR="00F00C5C" w:rsidRDefault="00F00C5C" w:rsidP="00F00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619"/>
    <w:multiLevelType w:val="hybridMultilevel"/>
    <w:tmpl w:val="05F87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B07A65"/>
    <w:multiLevelType w:val="hybridMultilevel"/>
    <w:tmpl w:val="A3044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71"/>
    <w:rsid w:val="00084923"/>
    <w:rsid w:val="002000B4"/>
    <w:rsid w:val="00457D5B"/>
    <w:rsid w:val="00D8070A"/>
    <w:rsid w:val="00E25F71"/>
    <w:rsid w:val="00EB1C40"/>
    <w:rsid w:val="00F00C5C"/>
    <w:rsid w:val="00F7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unhideWhenUsed/>
    <w:rsid w:val="00E25F71"/>
    <w:rPr>
      <w:color w:val="0000FF"/>
      <w:u w:val="single"/>
    </w:rPr>
  </w:style>
  <w:style w:type="paragraph" w:styleId="a5">
    <w:name w:val="List Paragraph"/>
    <w:basedOn w:val="a"/>
    <w:uiPriority w:val="34"/>
    <w:qFormat/>
    <w:rsid w:val="00E25F71"/>
    <w:pPr>
      <w:ind w:leftChars="200" w:left="480"/>
    </w:pPr>
  </w:style>
  <w:style w:type="paragraph" w:styleId="a6">
    <w:name w:val="header"/>
    <w:basedOn w:val="a"/>
    <w:link w:val="a7"/>
    <w:uiPriority w:val="99"/>
    <w:unhideWhenUsed/>
    <w:rsid w:val="00F00C5C"/>
    <w:pPr>
      <w:tabs>
        <w:tab w:val="center" w:pos="4153"/>
        <w:tab w:val="right" w:pos="8306"/>
      </w:tabs>
      <w:snapToGrid w:val="0"/>
    </w:pPr>
    <w:rPr>
      <w:sz w:val="20"/>
      <w:szCs w:val="20"/>
    </w:rPr>
  </w:style>
  <w:style w:type="character" w:customStyle="1" w:styleId="a7">
    <w:name w:val="頁首 字元"/>
    <w:basedOn w:val="a0"/>
    <w:link w:val="a6"/>
    <w:uiPriority w:val="99"/>
    <w:rsid w:val="00F00C5C"/>
    <w:rPr>
      <w:rFonts w:ascii="Calibri" w:eastAsia="新細明體" w:hAnsi="Calibri" w:cs="Times New Roman"/>
      <w:sz w:val="20"/>
      <w:szCs w:val="20"/>
    </w:rPr>
  </w:style>
  <w:style w:type="paragraph" w:styleId="a8">
    <w:name w:val="footer"/>
    <w:basedOn w:val="a"/>
    <w:link w:val="a9"/>
    <w:uiPriority w:val="99"/>
    <w:unhideWhenUsed/>
    <w:rsid w:val="00F00C5C"/>
    <w:pPr>
      <w:tabs>
        <w:tab w:val="center" w:pos="4153"/>
        <w:tab w:val="right" w:pos="8306"/>
      </w:tabs>
      <w:snapToGrid w:val="0"/>
    </w:pPr>
    <w:rPr>
      <w:sz w:val="20"/>
      <w:szCs w:val="20"/>
    </w:rPr>
  </w:style>
  <w:style w:type="character" w:customStyle="1" w:styleId="a9">
    <w:name w:val="頁尾 字元"/>
    <w:basedOn w:val="a0"/>
    <w:link w:val="a8"/>
    <w:uiPriority w:val="99"/>
    <w:rsid w:val="00F00C5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unhideWhenUsed/>
    <w:rsid w:val="00E25F71"/>
    <w:rPr>
      <w:color w:val="0000FF"/>
      <w:u w:val="single"/>
    </w:rPr>
  </w:style>
  <w:style w:type="paragraph" w:styleId="a5">
    <w:name w:val="List Paragraph"/>
    <w:basedOn w:val="a"/>
    <w:uiPriority w:val="34"/>
    <w:qFormat/>
    <w:rsid w:val="00E25F71"/>
    <w:pPr>
      <w:ind w:leftChars="200" w:left="480"/>
    </w:pPr>
  </w:style>
  <w:style w:type="paragraph" w:styleId="a6">
    <w:name w:val="header"/>
    <w:basedOn w:val="a"/>
    <w:link w:val="a7"/>
    <w:uiPriority w:val="99"/>
    <w:unhideWhenUsed/>
    <w:rsid w:val="00F00C5C"/>
    <w:pPr>
      <w:tabs>
        <w:tab w:val="center" w:pos="4153"/>
        <w:tab w:val="right" w:pos="8306"/>
      </w:tabs>
      <w:snapToGrid w:val="0"/>
    </w:pPr>
    <w:rPr>
      <w:sz w:val="20"/>
      <w:szCs w:val="20"/>
    </w:rPr>
  </w:style>
  <w:style w:type="character" w:customStyle="1" w:styleId="a7">
    <w:name w:val="頁首 字元"/>
    <w:basedOn w:val="a0"/>
    <w:link w:val="a6"/>
    <w:uiPriority w:val="99"/>
    <w:rsid w:val="00F00C5C"/>
    <w:rPr>
      <w:rFonts w:ascii="Calibri" w:eastAsia="新細明體" w:hAnsi="Calibri" w:cs="Times New Roman"/>
      <w:sz w:val="20"/>
      <w:szCs w:val="20"/>
    </w:rPr>
  </w:style>
  <w:style w:type="paragraph" w:styleId="a8">
    <w:name w:val="footer"/>
    <w:basedOn w:val="a"/>
    <w:link w:val="a9"/>
    <w:uiPriority w:val="99"/>
    <w:unhideWhenUsed/>
    <w:rsid w:val="00F00C5C"/>
    <w:pPr>
      <w:tabs>
        <w:tab w:val="center" w:pos="4153"/>
        <w:tab w:val="right" w:pos="8306"/>
      </w:tabs>
      <w:snapToGrid w:val="0"/>
    </w:pPr>
    <w:rPr>
      <w:sz w:val="20"/>
      <w:szCs w:val="20"/>
    </w:rPr>
  </w:style>
  <w:style w:type="character" w:customStyle="1" w:styleId="a9">
    <w:name w:val="頁尾 字元"/>
    <w:basedOn w:val="a0"/>
    <w:link w:val="a8"/>
    <w:uiPriority w:val="99"/>
    <w:rsid w:val="00F00C5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CF2D-AC0F-4AC9-A738-EFE59098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孫維萱</cp:lastModifiedBy>
  <cp:revision>6</cp:revision>
  <dcterms:created xsi:type="dcterms:W3CDTF">2020-03-18T06:17:00Z</dcterms:created>
  <dcterms:modified xsi:type="dcterms:W3CDTF">2020-07-02T02:34:00Z</dcterms:modified>
</cp:coreProperties>
</file>